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322" w:before="322"/>
        <w:pBdr>
          <w:left w:val="none" w:color="000000" w:sz="4" w:space="0"/>
          <w:top w:val="none" w:color="000000" w:sz="4" w:space="0"/>
          <w:right w:val="none" w:color="000000" w:sz="4" w:space="0"/>
          <w:bottom w:val="none" w:color="000000" w:sz="4" w:space="0"/>
        </w:pBdr>
        <w:outlineLvl w:val="0"/>
      </w:pPr>
      <w:r>
        <w:rPr>
          <w:rFonts w:ascii="Times New Roman" w:hAnsi="Times New Roman" w:cs="Times New Roman" w:eastAsia="Times New Roman"/>
          <w:b/>
          <w:color w:val="000000"/>
          <w:sz w:val="48"/>
        </w:rPr>
        <w:t xml:space="preserve">Izjava podpore radiu Študent</w:t>
      </w:r>
      <w:r/>
    </w:p>
    <w:p>
      <w:pPr>
        <w:ind w:left="0" w:right="0" w:firstLine="0"/>
        <w:spacing w:after="319" w:before="319"/>
        <w:pBdr>
          <w:left w:val="none" w:color="000000" w:sz="4" w:space="0"/>
          <w:top w:val="none" w:color="000000" w:sz="4" w:space="0"/>
          <w:right w:val="none" w:color="000000" w:sz="4" w:space="0"/>
          <w:bottom w:val="none" w:color="000000" w:sz="4" w:space="0"/>
        </w:pBdr>
        <w:outlineLvl w:val="3"/>
      </w:pPr>
      <w:r>
        <w:rPr>
          <w:rFonts w:ascii="Times New Roman" w:hAnsi="Times New Roman" w:cs="Times New Roman" w:eastAsia="Times New Roman"/>
          <w:b/>
          <w:color w:val="000000"/>
          <w:sz w:val="24"/>
        </w:rPr>
        <w:t xml:space="preserve">11. 1. 2021</w:t>
      </w:r>
      <w:r/>
    </w:p>
    <w:p>
      <w:pPr>
        <w:ind w:left="0" w:right="0" w:firstLine="0"/>
        <w:spacing w:after="240" w:before="24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r>
      <w:r/>
    </w:p>
    <w:p>
      <w:pPr>
        <w:ind w:left="0" w:right="0" w:firstLine="0"/>
        <w:spacing w:after="240" w:before="24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Kulturne, raziskovalne in zagovorniške organizacije, ki delujemo na Metelkovi 6 izražamo solidarnost in podporo Radiu Študent, ob tem pa nasprotujemo enostranskim poskusom ukinitve sofinanciranja ter samovoljnemu poskusu uničenja medija, ki ima tako pomemb</w:t>
      </w:r>
      <w:r>
        <w:rPr>
          <w:rFonts w:ascii="Times New Roman" w:hAnsi="Times New Roman" w:cs="Times New Roman" w:eastAsia="Times New Roman"/>
          <w:color w:val="000000"/>
          <w:sz w:val="24"/>
        </w:rPr>
        <w:t xml:space="preserve">no zgodovinsko, družbeno in kulturno vlogo v tukajšnji javni sferi, v regionalnem in v širšem evropskem prostoru. V času oligopolizacije medijske krajine, vzpenjajoče prevlade tehnoloških medijskih velikanov, strankarskih napadov in finančnega izčrpavanja </w:t>
      </w:r>
      <w:r>
        <w:rPr>
          <w:rFonts w:ascii="Times New Roman" w:hAnsi="Times New Roman" w:cs="Times New Roman" w:eastAsia="Times New Roman"/>
          <w:color w:val="000000"/>
          <w:sz w:val="24"/>
        </w:rPr>
        <w:t xml:space="preserve">javnih medijev, ki že desetletja prispevajo k osiromašenju javne sfere in trivializaciji politično pomembnih vsebin, so avtoritarne odločitve študentskih predstavnikov o nedodelitvi nujnih finančnih sredstev radiu preprosto nedopustne. Radio Študent je ede</w:t>
      </w:r>
      <w:r>
        <w:rPr>
          <w:rFonts w:ascii="Times New Roman" w:hAnsi="Times New Roman" w:cs="Times New Roman" w:eastAsia="Times New Roman"/>
          <w:color w:val="000000"/>
          <w:sz w:val="24"/>
        </w:rPr>
        <w:t xml:space="preserve">n redkih preostalih medijev, ki že desetletja informirano poročajo o ključnih problemih našega časa, o kompleksnih, marginaliziranih, preslišanih, zanemarjenih in subkulturnih temah ter artikulirano kultivirajo okuse svojih poslušalk in poslušalcev. Zato j</w:t>
      </w:r>
      <w:r>
        <w:rPr>
          <w:rFonts w:ascii="Times New Roman" w:hAnsi="Times New Roman" w:cs="Times New Roman" w:eastAsia="Times New Roman"/>
          <w:color w:val="000000"/>
          <w:sz w:val="24"/>
        </w:rPr>
        <w:t xml:space="preserve">e ključen argumentativni prostor široke kritične javnosti ter medij, ki s sramotno nizkimi finančnimi sredstvi vzpostavlja in ohranja prostor heterodoksnega, eksperimentalnega, marginaliziranega, umetniškega in publicističnega; je prostor intelektualnih in</w:t>
      </w:r>
      <w:r>
        <w:rPr>
          <w:rFonts w:ascii="Times New Roman" w:hAnsi="Times New Roman" w:cs="Times New Roman" w:eastAsia="Times New Roman"/>
          <w:color w:val="000000"/>
          <w:sz w:val="24"/>
        </w:rPr>
        <w:t xml:space="preserve"> teoretskih debat, spregledanih družbenih tem in znanstvenih ter zgodovinskih dognanj. Ohranitev Radia Študent, najstarejše študentske in skupnostne neodvisne radio postaje v Evropi, je v tem zgodovinskem trenutku ključnega pomena, ker gre za radio, ki mu </w:t>
      </w:r>
      <w:r>
        <w:rPr>
          <w:rFonts w:ascii="Times New Roman" w:hAnsi="Times New Roman" w:cs="Times New Roman" w:eastAsia="Times New Roman"/>
          <w:color w:val="000000"/>
          <w:sz w:val="24"/>
        </w:rPr>
        <w:t xml:space="preserve">v tukajšnjem prostoru uspeva ostati eden redkih poligonov novinarske, uredniške, raziskovalne, preiskovalne, umetniške, glasbene, politične in prevajalske misli ter prakse. Kot medij študentske skupnosti je ključen tudi za prihodnji intelektualni in medijs</w:t>
      </w:r>
      <w:r>
        <w:rPr>
          <w:rFonts w:ascii="Times New Roman" w:hAnsi="Times New Roman" w:cs="Times New Roman" w:eastAsia="Times New Roman"/>
          <w:color w:val="000000"/>
          <w:sz w:val="24"/>
        </w:rPr>
        <w:t xml:space="preserve">ki razvoj novih generacij novinarske, medijske, aktivistične, raziskovalne in akademske sfere.</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Eden od namenov ustanovitve Študentske organizacije Univerze je zagotavljanje finančnih sredstev in brezpogojna podpora načelom javnega komuniciranja in delovanja. Financiranje Radia Študent zato ne more biti predmet razprav, saj ŠOU s tem, ko ne izpolnjuj</w:t>
      </w:r>
      <w:r>
        <w:rPr>
          <w:rFonts w:ascii="Times New Roman" w:hAnsi="Times New Roman" w:cs="Times New Roman" w:eastAsia="Times New Roman"/>
          <w:color w:val="000000"/>
          <w:sz w:val="24"/>
        </w:rPr>
        <w:t xml:space="preserve">e javne vloge kontinuiranega ohranjanja medijskih vsebin, odpravlja tudi svojo organizacijsko vlogo in zgodovinski namen. ŠOU v Ljubljani naj zato preneha z antiintelektualnim napadom na zgodovinske dosežke študentskih družbenih bojev in z birokratskimi po</w:t>
      </w:r>
      <w:r>
        <w:rPr>
          <w:rFonts w:ascii="Times New Roman" w:hAnsi="Times New Roman" w:cs="Times New Roman" w:eastAsia="Times New Roman"/>
          <w:color w:val="000000"/>
          <w:sz w:val="24"/>
        </w:rPr>
        <w:t xml:space="preserve">skusi administrativnega uničevanja nenadomestljive medijske institucije. Od študentskega zbora in članov predsedstva Študentske organizacije Univerze v Ljubljani pričakujemo, da iz proračuna ŠOU Zavodu Radio Študent za letošnje koledarsko leto zagotovi nač</w:t>
      </w:r>
      <w:r>
        <w:rPr>
          <w:rFonts w:ascii="Times New Roman" w:hAnsi="Times New Roman" w:cs="Times New Roman" w:eastAsia="Times New Roman"/>
          <w:color w:val="000000"/>
          <w:sz w:val="24"/>
        </w:rPr>
        <w:t xml:space="preserve">rtovana finančna sredstva za izvajanje programa in preneha s samovoljnimi napadi na institucionalno avtonomijo radia. Ob tem pričakujemo, da ŠOU s progresivnim letnim povečevanjem sredstev trajno zagotovi in uredi njegovo sistemsko financiranje, v vprašanj</w:t>
      </w:r>
      <w:r>
        <w:rPr>
          <w:rFonts w:ascii="Times New Roman" w:hAnsi="Times New Roman" w:cs="Times New Roman" w:eastAsia="Times New Roman"/>
          <w:color w:val="000000"/>
          <w:sz w:val="24"/>
        </w:rPr>
        <w:t xml:space="preserve">a o prihodnosti radia pa naj vključi tiste, ki ustvarjajo njegove vsebine in ostajajo dejanski nosilci in nosilke njegove intelektualne ter zgodovinske dediščine.</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Center za slovensko književnost</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Društvo za retroavantgardo (Laibach)</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Društvo za sodobni ples Slovenije</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Exodos Ljubljana</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Forum Ljubljana</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Gallus J. Carniolus</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Otok, zavod za razvijanje filmske kulture / festival Kino Otok</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Mirovni inštitut</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Plesni Teater Ljubljana</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Škuc</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Ustanova Gallus</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Vertigo, Zavod za kulturne dejavnosti</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Združenje slovenskih ustanov – fundacij</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
      <w:lvlJc w:val="left"/>
      <w:pPr>
        <w:ind w:left="1429" w:hanging="360"/>
      </w:pPr>
      <w:rPr>
        <w:rFonts w:ascii="Symbol" w:hAnsi="Symbol" w:cs="Symbol" w:eastAsia="Symbol"/>
      </w:rPr>
    </w:lvl>
    <w:lvl w:ilvl="2">
      <w:start w:val="1"/>
      <w:numFmt w:val="bullet"/>
      <w:isLgl w:val="false"/>
      <w:suff w:val="tab"/>
      <w:lvlText w:val="·"/>
      <w:lvlJc w:val="left"/>
      <w:pPr>
        <w:ind w:left="2149" w:hanging="360"/>
      </w:pPr>
      <w:rPr>
        <w:rFonts w:ascii="Symbol" w:hAnsi="Symbol" w:cs="Symbol" w:eastAsia="Symbol"/>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
      <w:lvlJc w:val="left"/>
      <w:pPr>
        <w:ind w:left="3589" w:hanging="360"/>
      </w:pPr>
      <w:rPr>
        <w:rFonts w:ascii="Symbol" w:hAnsi="Symbol" w:cs="Symbol" w:eastAsia="Symbol"/>
      </w:rPr>
    </w:lvl>
    <w:lvl w:ilvl="5">
      <w:start w:val="1"/>
      <w:numFmt w:val="bullet"/>
      <w:isLgl w:val="false"/>
      <w:suff w:val="tab"/>
      <w:lvlText w:val="·"/>
      <w:lvlJc w:val="left"/>
      <w:pPr>
        <w:ind w:left="4309" w:hanging="360"/>
      </w:pPr>
      <w:rPr>
        <w:rFonts w:ascii="Symbol" w:hAnsi="Symbol" w:cs="Symbol" w:eastAsia="Symbol"/>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
      <w:lvlJc w:val="left"/>
      <w:pPr>
        <w:ind w:left="5749" w:hanging="360"/>
      </w:pPr>
      <w:rPr>
        <w:rFonts w:ascii="Symbol" w:hAnsi="Symbol" w:cs="Symbol" w:eastAsia="Symbol"/>
      </w:rPr>
    </w:lvl>
    <w:lvl w:ilvl="8">
      <w:start w:val="1"/>
      <w:numFmt w:val="bullet"/>
      <w:isLgl w:val="false"/>
      <w:suff w:val="tab"/>
      <w:lvlText w:val="·"/>
      <w:lvlJc w:val="left"/>
      <w:pPr>
        <w:ind w:left="6469" w:hanging="360"/>
      </w:pPr>
      <w:rPr>
        <w:rFonts w:ascii="Symbol" w:hAnsi="Symbol" w:cs="Symbol" w:eastAsia="Symbol"/>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2021-01-12T11:03:08Z</dcterms:modified>
</cp:coreProperties>
</file>